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8C7BC5" w:rsidRPr="00A91FCA" w:rsidTr="00073F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C7BC5" w:rsidRPr="00A91FCA" w:rsidRDefault="008C7BC5" w:rsidP="00073F00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7926BFA8" wp14:editId="5E93842B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C7BC5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8C7BC5" w:rsidRPr="00F346C6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8C7BC5" w:rsidRPr="00F346C6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8C7BC5" w:rsidRPr="00F346C6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8C7BC5" w:rsidRPr="00F346C6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безплатен  национален телефон: 08000 900 11</w:t>
            </w:r>
          </w:p>
          <w:p w:rsidR="008C7BC5" w:rsidRPr="00F346C6" w:rsidRDefault="008C7BC5" w:rsidP="00073F00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8C7BC5" w:rsidRDefault="008C7BC5" w:rsidP="00073F00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6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8C7BC5" w:rsidRPr="00C56B0A" w:rsidRDefault="008C7BC5" w:rsidP="00073F00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Fonts w:ascii="Times New Roman" w:eastAsia="SimSun" w:hAnsi="Times New Roman"/>
                <w:color w:val="0000FF" w:themeColor="hyperlink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C7BC5" w:rsidRDefault="008C7BC5" w:rsidP="00073F00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C7BC5" w:rsidRPr="00073155" w:rsidRDefault="008C7BC5" w:rsidP="00073F00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21AAB" w:rsidRDefault="00221AAB" w:rsidP="002A33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  <w:bookmarkStart w:id="0" w:name="_GoBack"/>
      <w:bookmarkEnd w:id="0"/>
    </w:p>
    <w:p w:rsidR="00221AAB" w:rsidRDefault="00221AAB" w:rsidP="002A33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221AAB" w:rsidRPr="00221AAB" w:rsidRDefault="002A330E" w:rsidP="002A33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bg-BG"/>
        </w:rPr>
      </w:pPr>
      <w:r w:rsidRPr="002A330E">
        <w:rPr>
          <w:rFonts w:ascii="Arial" w:eastAsia="Times New Roman" w:hAnsi="Arial" w:cs="Arial"/>
          <w:b/>
          <w:sz w:val="32"/>
          <w:szCs w:val="32"/>
          <w:lang w:eastAsia="bg-BG"/>
        </w:rPr>
        <w:t>ПРОЦЕДУРА</w:t>
      </w:r>
      <w:r w:rsidR="00221AAB" w:rsidRPr="00221AAB">
        <w:rPr>
          <w:rFonts w:ascii="Arial" w:eastAsia="Times New Roman" w:hAnsi="Arial" w:cs="Arial"/>
          <w:b/>
          <w:sz w:val="32"/>
          <w:szCs w:val="32"/>
          <w:lang w:val="en-US" w:eastAsia="bg-BG"/>
        </w:rPr>
        <w:t xml:space="preserve"> </w:t>
      </w:r>
      <w:r w:rsidRPr="002A330E">
        <w:rPr>
          <w:rFonts w:ascii="Arial" w:eastAsia="Times New Roman" w:hAnsi="Arial" w:cs="Arial"/>
          <w:b/>
          <w:sz w:val="32"/>
          <w:szCs w:val="32"/>
          <w:lang w:eastAsia="bg-BG"/>
        </w:rPr>
        <w:t>ЗА ДОСТЪП ДО ЛИЧНИ ДАННИ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>1.Всяко физическо лице има право на достъп до отнасящи се до него лични данни. В случаите, когато при осъществяване правото на достъп на физическото лице могат да се разкрият лични данни и за трето лице, администраторът е длъжен да предостави на съответното физическо лице достъп до частта от тях, отнасяща се само за него.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2.Осъществяването на правото на достъп до лични данни не може да бъде насочено срещу правата и доброто име на други физически лица, както и срещу националната сигурност, обществения ред, здравето и морала. 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>3.При упражняване на правото си на достъп физическото лице има право по всяко време да поиска безплатно от администратора на лични данни:(1)потвърждение за това, дали отнасящи се до него данни се обработват, информация за целите на това обработване, за категориите данни и за получателите или категориите получатели, на които данните се разкриват;(2)съобщение до него в разбираема форма, съдържащо личните му данни, които се обработват, както и всяка налична информация за техния източник;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>4.При смърт на физическото лице правата му по т.3се упражняват от неговите наследници.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>5.Физическото лице има право по всяко време да поиска от администратора да:(1)заличи, коригира или блокира негови лични данни, обработването на които не отговаря на изискванията на този закон;(2)уведоми третите лица, на които са били разкрити личните му данни, за всяко заличаване, коригиране или блокиране, извършено в съответствие с т.5(1), с изключение на случаите, когато това е невъзможно или е свързано с прекомерни усилия.</w:t>
      </w:r>
    </w:p>
    <w:p w:rsidR="00221AAB" w:rsidRDefault="002A330E" w:rsidP="002A330E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lastRenderedPageBreak/>
        <w:t>6.Правото на достъп до личните данни на физическото лице се осъществява с писмено заявление до администратора на лични данни (Приложение No2) лично от физическото лице или от изрично упълномощено от него лице чрез нотариално заверено пълномощно.(1)Заявлението пот.6съдържа: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>име, адрес и други данни за идентифициране на съответното физическо лице;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>описание на искането;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>предпочитана форма за предоставяне на информацията пот.3;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>подпис, дата на подаване на заявлението иадрес за кореспонденция.(2)При подаване на заявление от упълномощено лице към заявлението се прилага и нотариално завереното пълномощно.</w:t>
      </w:r>
    </w:p>
    <w:p w:rsidR="002A330E" w:rsidRPr="002A330E" w:rsidRDefault="002A330E" w:rsidP="002A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>7.Информацията пот.3може да бъде предоставена под формата на: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устна справка;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писмена справка;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преглед на данните от съответното физическо лице или от изрично упълномощено от него лице;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копие от обработваните лични данни на предпочитан носител или предоставяне по електронен път. </w:t>
      </w:r>
    </w:p>
    <w:p w:rsidR="00BB2243" w:rsidRPr="00221AAB" w:rsidRDefault="002A330E" w:rsidP="002A330E">
      <w:pPr>
        <w:rPr>
          <w:rFonts w:ascii="Arial" w:eastAsia="Times New Roman" w:hAnsi="Arial" w:cs="Arial"/>
          <w:sz w:val="30"/>
          <w:szCs w:val="30"/>
          <w:lang w:eastAsia="bg-BG"/>
        </w:rPr>
      </w:pP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8.Администраторът на лични данни разглежда заявлението по т.6и се произнася по него в 14 дневен срок. Срокът може да бъде мотивирано удължен до 30 дни в случаите, когато обективно се изисква по-дълъг срок за събирането на всички искани данни и това сериозно затруднява дейността на администратора. </w:t>
      </w:r>
      <w:r w:rsidR="00221AAB">
        <w:rPr>
          <w:rFonts w:ascii="Arial" w:eastAsia="Times New Roman" w:hAnsi="Arial" w:cs="Arial"/>
          <w:sz w:val="30"/>
          <w:szCs w:val="30"/>
          <w:lang w:val="en-US" w:eastAsia="bg-BG"/>
        </w:rPr>
        <w:t xml:space="preserve">                                                            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9.Администраторът уведомява писмено заявителя за решението си. Уведомяването става лично срещу подпис или по пощата с обратна разписка. </w:t>
      </w:r>
      <w:r w:rsidR="00221AAB">
        <w:rPr>
          <w:rFonts w:ascii="Arial" w:eastAsia="Times New Roman" w:hAnsi="Arial" w:cs="Arial"/>
          <w:sz w:val="30"/>
          <w:szCs w:val="30"/>
          <w:lang w:val="en-US" w:eastAsia="bg-BG"/>
        </w:rPr>
        <w:t xml:space="preserve">                                                 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10.В срока по т.8 Администраторът взима решение за предоставяне на пълен или частичен достъп или отказва достъп. </w:t>
      </w:r>
      <w:r w:rsidR="00221AAB">
        <w:rPr>
          <w:rFonts w:ascii="Arial" w:eastAsia="Times New Roman" w:hAnsi="Arial" w:cs="Arial"/>
          <w:sz w:val="30"/>
          <w:szCs w:val="30"/>
          <w:lang w:val="en-US" w:eastAsia="bg-BG"/>
        </w:rPr>
        <w:t xml:space="preserve">                                                                                           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11.Отказът на администратора за предоставяне на достъп до личните данни трябва да бъде мотивиран. В отказа се посочва основанието за отказ и срока на неговото обжалване. Основания за отказ са: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когато данните не съществуват;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sym w:font="Symbol" w:char="F0B7"/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когато данните не могат да бъдат предоставяни на определено правно основание. За отказ се счита и липсата на уведомление до заявителя за решението. </w:t>
      </w:r>
      <w:r w:rsidR="00221AAB">
        <w:rPr>
          <w:rFonts w:ascii="Arial" w:eastAsia="Times New Roman" w:hAnsi="Arial" w:cs="Arial"/>
          <w:sz w:val="30"/>
          <w:szCs w:val="30"/>
          <w:lang w:val="en-US" w:eastAsia="bg-BG"/>
        </w:rPr>
        <w:t xml:space="preserve">                                                            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t xml:space="preserve">12.Обжалване на частичен достъп до лични данни и обжалване </w:t>
      </w:r>
      <w:r w:rsidRPr="002A330E">
        <w:rPr>
          <w:rFonts w:ascii="Arial" w:eastAsia="Times New Roman" w:hAnsi="Arial" w:cs="Arial"/>
          <w:sz w:val="30"/>
          <w:szCs w:val="30"/>
          <w:lang w:eastAsia="bg-BG"/>
        </w:rPr>
        <w:lastRenderedPageBreak/>
        <w:t>на отказ за достъп до лични данни. (1)Заявителят може да сезира Комисията за защита на личните данни в 14-дневен срок от уведомяването за решението на администратора или от изтичането на срока за разглеждане на заявлението на администратора. Комисията за защита на личните данни се произнася в 30-дневен срок с решение, което дава задължителни указания до администратора на лични данни и срок за отстраняване на нарушението. Решението на Комисията подлежи на обжалване пред Върховния административен съд в 14-дневен срок от получаването му.(2)Заявителят може да обжалва решението на администратора на лични данни направо пред съответния съд съобразно общите правила за подсъдност. Жалбата се подава чрез администратора в едномесечен срок от получаване на уведомлението за решението на администр</w:t>
      </w:r>
      <w:r w:rsidR="00221AAB">
        <w:rPr>
          <w:rFonts w:ascii="Arial" w:eastAsia="Times New Roman" w:hAnsi="Arial" w:cs="Arial"/>
          <w:sz w:val="30"/>
          <w:szCs w:val="30"/>
          <w:lang w:val="en-US" w:eastAsia="bg-BG"/>
        </w:rPr>
        <w:t>a</w:t>
      </w:r>
      <w:r w:rsidR="00221AAB">
        <w:rPr>
          <w:rFonts w:ascii="Arial" w:eastAsia="Times New Roman" w:hAnsi="Arial" w:cs="Arial"/>
          <w:sz w:val="30"/>
          <w:szCs w:val="30"/>
          <w:lang w:eastAsia="bg-BG"/>
        </w:rPr>
        <w:t>тора.</w:t>
      </w:r>
    </w:p>
    <w:sectPr w:rsidR="00BB2243" w:rsidRPr="0022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E"/>
    <w:rsid w:val="000C31E7"/>
    <w:rsid w:val="00221AAB"/>
    <w:rsid w:val="002A330E"/>
    <w:rsid w:val="008C7BC5"/>
    <w:rsid w:val="009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7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7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2019-09-04T07:35:00Z</dcterms:created>
  <dcterms:modified xsi:type="dcterms:W3CDTF">2019-09-04T07:43:00Z</dcterms:modified>
</cp:coreProperties>
</file>